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9E" w:rsidRPr="0059149E" w:rsidRDefault="0059149E" w:rsidP="0059149E">
      <w:pPr>
        <w:ind w:left="6372" w:firstLine="708"/>
        <w:rPr>
          <w:rFonts w:ascii="Times New Roman" w:hAnsi="Times New Roman"/>
          <w:spacing w:val="-14"/>
          <w:sz w:val="26"/>
          <w:szCs w:val="26"/>
        </w:rPr>
      </w:pPr>
      <w:r w:rsidRPr="0059149E">
        <w:rPr>
          <w:rFonts w:ascii="Times New Roman" w:hAnsi="Times New Roman"/>
          <w:spacing w:val="-14"/>
          <w:sz w:val="26"/>
          <w:szCs w:val="26"/>
        </w:rPr>
        <w:t xml:space="preserve">ИНФОРМАЦИЯ </w:t>
      </w:r>
    </w:p>
    <w:p w:rsidR="0059149E" w:rsidRPr="0059149E" w:rsidRDefault="0059149E" w:rsidP="00BA2953">
      <w:pPr>
        <w:spacing w:line="240" w:lineRule="auto"/>
        <w:jc w:val="both"/>
        <w:rPr>
          <w:rFonts w:ascii="Times New Roman" w:hAnsi="Times New Roman"/>
          <w:spacing w:val="-14"/>
          <w:sz w:val="26"/>
          <w:szCs w:val="26"/>
        </w:rPr>
      </w:pPr>
      <w:r w:rsidRPr="0059149E">
        <w:rPr>
          <w:rFonts w:ascii="Times New Roman" w:hAnsi="Times New Roman"/>
          <w:spacing w:val="-14"/>
          <w:sz w:val="26"/>
          <w:szCs w:val="26"/>
        </w:rPr>
        <w:t xml:space="preserve">о ходе выполнения отраслевого Плана мероприятий по реализации Директивы Президента Республики Беларусь от 11.03.2004  №1 «О мерах по укреплению общественной безопасности и дисциплины» (в ред. </w:t>
      </w:r>
      <w:hyperlink r:id="rId8" w:history="1">
        <w:r w:rsidRPr="0059149E">
          <w:rPr>
            <w:rFonts w:ascii="Times New Roman" w:hAnsi="Times New Roman"/>
            <w:spacing w:val="-14"/>
            <w:sz w:val="26"/>
            <w:szCs w:val="26"/>
          </w:rPr>
          <w:t>Указа</w:t>
        </w:r>
      </w:hyperlink>
      <w:r w:rsidRPr="0059149E">
        <w:rPr>
          <w:rFonts w:ascii="Times New Roman" w:hAnsi="Times New Roman"/>
          <w:spacing w:val="-14"/>
          <w:sz w:val="26"/>
          <w:szCs w:val="26"/>
        </w:rPr>
        <w:t xml:space="preserve"> Президента Республики Беларусь от 12.10.2015 № 420) в Институте повышения квалификации и переподготовки кадров учреждения образования «Гродненский государственный университет имени Янки Купалы»</w:t>
      </w:r>
    </w:p>
    <w:p w:rsidR="0059149E" w:rsidRDefault="0059149E" w:rsidP="0059149E">
      <w:pPr>
        <w:pStyle w:val="20"/>
        <w:shd w:val="clear" w:color="auto" w:fill="auto"/>
        <w:spacing w:line="280" w:lineRule="exact"/>
        <w:ind w:left="5732" w:right="6197" w:firstLine="640"/>
        <w:jc w:val="both"/>
      </w:pPr>
    </w:p>
    <w:tbl>
      <w:tblPr>
        <w:tblpPr w:leftFromText="180" w:rightFromText="180" w:vertAnchor="text" w:tblpXSpec="center" w:tblpY="1"/>
        <w:tblOverlap w:val="never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914"/>
        <w:gridCol w:w="7229"/>
      </w:tblGrid>
      <w:tr w:rsidR="00D56B99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56B99" w:rsidRPr="00076600" w:rsidRDefault="00D56B99" w:rsidP="00E37F47">
            <w:pPr>
              <w:spacing w:after="0" w:line="260" w:lineRule="exact"/>
              <w:ind w:left="-70"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№ </w:t>
            </w:r>
            <w:proofErr w:type="gram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</w:t>
            </w:r>
            <w:proofErr w:type="gramEnd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/п</w:t>
            </w: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56B99" w:rsidRPr="00076600" w:rsidRDefault="00D56B99" w:rsidP="00E37F47">
            <w:pPr>
              <w:pStyle w:val="20"/>
              <w:shd w:val="clear" w:color="auto" w:fill="auto"/>
              <w:spacing w:line="260" w:lineRule="exact"/>
              <w:ind w:left="74" w:right="-66"/>
              <w:jc w:val="center"/>
              <w:rPr>
                <w:spacing w:val="-14"/>
                <w:sz w:val="26"/>
                <w:szCs w:val="26"/>
              </w:rPr>
            </w:pPr>
            <w:r w:rsidRPr="00076600">
              <w:rPr>
                <w:rStyle w:val="2Exact"/>
                <w:spacing w:val="-14"/>
                <w:sz w:val="26"/>
                <w:szCs w:val="26"/>
              </w:rPr>
              <w:t>Наименование мероприятия, пункт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56B99" w:rsidRPr="00076600" w:rsidRDefault="0059149E" w:rsidP="0059149E">
            <w:pPr>
              <w:pStyle w:val="20"/>
              <w:shd w:val="clear" w:color="auto" w:fill="auto"/>
              <w:spacing w:line="260" w:lineRule="exact"/>
              <w:ind w:left="74" w:right="-113"/>
              <w:jc w:val="center"/>
              <w:rPr>
                <w:spacing w:val="-14"/>
                <w:sz w:val="26"/>
                <w:szCs w:val="26"/>
              </w:rPr>
            </w:pPr>
            <w:r w:rsidRPr="0059149E">
              <w:rPr>
                <w:rStyle w:val="2Exact"/>
                <w:spacing w:val="-14"/>
                <w:sz w:val="26"/>
                <w:szCs w:val="26"/>
              </w:rPr>
              <w:t>Информация о выполнении</w:t>
            </w:r>
            <w:r>
              <w:t xml:space="preserve"> </w:t>
            </w:r>
          </w:p>
        </w:tc>
      </w:tr>
      <w:tr w:rsidR="00D56B99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56B99" w:rsidRPr="00076600" w:rsidRDefault="00D56B99" w:rsidP="00E37F47">
            <w:pPr>
              <w:spacing w:after="0" w:line="260" w:lineRule="exact"/>
              <w:ind w:left="-70"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1</w:t>
            </w: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56B99" w:rsidRPr="00076600" w:rsidRDefault="00D56B99" w:rsidP="00E37F47">
            <w:pPr>
              <w:pStyle w:val="20"/>
              <w:shd w:val="clear" w:color="auto" w:fill="auto"/>
              <w:spacing w:line="260" w:lineRule="exact"/>
              <w:ind w:left="74" w:right="-66"/>
              <w:jc w:val="center"/>
              <w:rPr>
                <w:rStyle w:val="2Exact"/>
                <w:spacing w:val="-14"/>
                <w:sz w:val="26"/>
                <w:szCs w:val="26"/>
              </w:rPr>
            </w:pPr>
            <w:r w:rsidRPr="00076600">
              <w:rPr>
                <w:rStyle w:val="2Exact"/>
                <w:spacing w:val="-14"/>
                <w:sz w:val="26"/>
                <w:szCs w:val="26"/>
              </w:rPr>
              <w:t>2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56B99" w:rsidRPr="00076600" w:rsidRDefault="00D56B99" w:rsidP="00E37F47">
            <w:pPr>
              <w:pStyle w:val="20"/>
              <w:shd w:val="clear" w:color="auto" w:fill="auto"/>
              <w:spacing w:line="260" w:lineRule="exact"/>
              <w:ind w:left="74" w:right="-237"/>
              <w:jc w:val="center"/>
              <w:rPr>
                <w:spacing w:val="-14"/>
                <w:sz w:val="26"/>
                <w:szCs w:val="26"/>
              </w:rPr>
            </w:pPr>
            <w:r w:rsidRPr="00076600">
              <w:rPr>
                <w:rStyle w:val="2Exact"/>
                <w:spacing w:val="-14"/>
                <w:sz w:val="26"/>
                <w:szCs w:val="26"/>
              </w:rPr>
              <w:t>3</w:t>
            </w:r>
          </w:p>
        </w:tc>
      </w:tr>
      <w:tr w:rsidR="00D71C51" w:rsidRPr="00076600" w:rsidTr="00D71C51">
        <w:trPr>
          <w:trHeight w:val="1908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</w:tcPr>
          <w:p w:rsidR="00D71C51" w:rsidRPr="00D71C51" w:rsidRDefault="00D71C51" w:rsidP="00D71C51">
            <w:pPr>
              <w:spacing w:after="0" w:line="260" w:lineRule="exact"/>
              <w:ind w:left="-71" w:right="-80" w:firstLine="1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Рассмотрение на заседаниях коллегий или совещаниях вопроса об укреплении общественной безопасности и дисциплины и ходе </w:t>
            </w:r>
            <w:proofErr w:type="gramStart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реализации требований Директивы Президента Республики</w:t>
            </w:r>
            <w:proofErr w:type="gramEnd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Беларусь от 11.03.2004 № 1 «О мерах по укреплению общественной безопасности и дисциплины» (далее – Директивы)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</w:tcPr>
          <w:p w:rsidR="00D71C51" w:rsidRPr="00D71C51" w:rsidRDefault="00D71C51" w:rsidP="00675AC9">
            <w:pPr>
              <w:spacing w:line="260" w:lineRule="exact"/>
              <w:ind w:left="-104" w:right="-127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</w:t>
            </w:r>
            <w:proofErr w:type="gramStart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Анализ состояния охраны труда </w:t>
            </w:r>
            <w:r w:rsidR="00675AC9">
              <w:rPr>
                <w:rFonts w:ascii="Times New Roman" w:hAnsi="Times New Roman"/>
                <w:spacing w:val="-14"/>
                <w:sz w:val="26"/>
                <w:szCs w:val="26"/>
              </w:rPr>
              <w:t>и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мер</w:t>
            </w:r>
            <w:r w:rsidR="00675AC9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оприятий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по профилактике производственного травматизма в свете реализации в институте требований Директивы Президента Республики Беларусь от 11.03.2004 г. № 1 «О мерах по укреплению общественной безопасности и дисциплины» (в ред. </w:t>
            </w:r>
            <w:hyperlink r:id="rId9" w:history="1">
              <w:r w:rsidRPr="00D71C51">
                <w:rPr>
                  <w:rFonts w:ascii="Times New Roman" w:hAnsi="Times New Roman"/>
                  <w:spacing w:val="-14"/>
                  <w:sz w:val="26"/>
                  <w:szCs w:val="26"/>
                </w:rPr>
                <w:t>Указа</w:t>
              </w:r>
            </w:hyperlink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Президента Республики Беларусь от 12.10.2015 № 420)»  на заседаниях Совета института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(П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ротоколы Совета </w:t>
            </w:r>
            <w:proofErr w:type="spellStart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ИПКиПК</w:t>
            </w:r>
            <w:proofErr w:type="spellEnd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от 30.11.2017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№ 10;</w:t>
            </w:r>
            <w:proofErr w:type="gramEnd"/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от 26.04.2018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№ 4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(дело 0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3-03)</w:t>
            </w:r>
          </w:p>
        </w:tc>
      </w:tr>
      <w:tr w:rsidR="00D71C51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</w:tcPr>
          <w:p w:rsidR="00D71C51" w:rsidRPr="00076600" w:rsidRDefault="00D71C51" w:rsidP="00E37F47">
            <w:pPr>
              <w:spacing w:after="0" w:line="260" w:lineRule="exact"/>
              <w:ind w:left="-71" w:right="-80" w:firstLine="1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Анализ выполнения требований Директивы в организациях, входящих в систему Минобразования, оценка эффективности их работы с учетом выявленных нарушени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й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71C51" w:rsidRDefault="00E2408E" w:rsidP="00BA2953">
            <w:pPr>
              <w:spacing w:after="0" w:line="260" w:lineRule="exact"/>
              <w:ind w:left="-104" w:right="-127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proofErr w:type="gram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Анализ выполнения требований Директивы </w:t>
            </w:r>
            <w:r w:rsidR="00675AC9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и оценка эффективности работы института сделаны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на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заседаниях Совета института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(П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ротоколы Совета </w:t>
            </w:r>
            <w:proofErr w:type="spellStart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ИПКиПК</w:t>
            </w:r>
            <w:proofErr w:type="spellEnd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от 30.11.2017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№ 10;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от 26.04.2018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№ 4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(дело 0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3-03)</w:t>
            </w:r>
            <w:proofErr w:type="gramEnd"/>
          </w:p>
          <w:p w:rsidR="00BA2953" w:rsidRPr="00076600" w:rsidRDefault="00BA2953" w:rsidP="00BA2953">
            <w:pPr>
              <w:spacing w:after="0" w:line="260" w:lineRule="exact"/>
              <w:ind w:left="-104" w:right="-127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Нарушений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требований Директивы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не выявлено.</w:t>
            </w:r>
          </w:p>
        </w:tc>
      </w:tr>
      <w:tr w:rsidR="00D71C51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</w:tcPr>
          <w:p w:rsidR="00D71C51" w:rsidRPr="00076600" w:rsidRDefault="00D71C51" w:rsidP="00E37F47">
            <w:pPr>
              <w:spacing w:after="0" w:line="260" w:lineRule="exact"/>
              <w:ind w:left="-71" w:right="-80" w:firstLine="14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Организация эффективного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мониторинга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соблюдени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я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служебной (трудовой) дисциплины, обеспечение применения в организациях требований в отношении учета и контроля соблюдения правил внутреннего трудового распорядка, пропускного режима, обеспечения информационной безопасности и использования телефонной сети общего пользования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E2408E" w:rsidP="00BA2953">
            <w:pPr>
              <w:spacing w:after="0" w:line="260" w:lineRule="exact"/>
              <w:ind w:left="-104" w:right="-127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Осуществляется постоянный мониторинг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соблюдени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я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служебной (трудовой) дисциплины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. В учебных корпусах </w:t>
            </w:r>
            <w:r w:rsidR="003D1933">
              <w:rPr>
                <w:rFonts w:ascii="Times New Roman" w:hAnsi="Times New Roman"/>
                <w:spacing w:val="-14"/>
                <w:sz w:val="26"/>
                <w:szCs w:val="26"/>
              </w:rPr>
              <w:t>организован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пропускной режим. Во всех структурных подразделениях ведутся журналы учета рабочего времени, журналы</w:t>
            </w:r>
            <w:r w:rsidR="003D193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регистрации телефонных звонков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="003D1933">
              <w:rPr>
                <w:rFonts w:ascii="Times New Roman" w:hAnsi="Times New Roman"/>
                <w:spacing w:val="-14"/>
                <w:sz w:val="26"/>
                <w:szCs w:val="26"/>
              </w:rPr>
              <w:t>на междугороднюю связь. Содержание информационных стендов находится на контроле заместителя директора по учебной работе.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</w:p>
        </w:tc>
      </w:tr>
      <w:tr w:rsidR="00D71C51" w:rsidRPr="00076600" w:rsidTr="00D71C51">
        <w:trPr>
          <w:trHeight w:val="604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E37F47">
            <w:pPr>
              <w:spacing w:after="0" w:line="260" w:lineRule="exact"/>
              <w:ind w:left="-71" w:right="-80" w:firstLine="14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Внесение в должностные обязанности соответствующих должностных лиц вопросов периодического контроля соблюдения служебной (трудовой) дисциплины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E2408E" w:rsidP="00E2408E">
            <w:pPr>
              <w:spacing w:after="0" w:line="260" w:lineRule="exact"/>
              <w:ind w:left="-104" w:right="-127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E2408E">
              <w:rPr>
                <w:rFonts w:ascii="Times New Roman" w:hAnsi="Times New Roman"/>
                <w:spacing w:val="-14"/>
                <w:sz w:val="26"/>
                <w:szCs w:val="26"/>
              </w:rPr>
              <w:t>В должностные инструкции работникам  внесены вопросы осуществления периодического контроля соблюдения служебной (трудовой) дисциплины (дело 01-25)</w:t>
            </w:r>
          </w:p>
        </w:tc>
      </w:tr>
      <w:tr w:rsidR="00D71C51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E37F47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1.1 пункта 1 Директивы</w:t>
            </w:r>
          </w:p>
        </w:tc>
      </w:tr>
      <w:tr w:rsidR="00D71C51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71C51" w:rsidRPr="00243579" w:rsidRDefault="00D71C51" w:rsidP="00E37F47">
            <w:pPr>
              <w:pStyle w:val="40"/>
              <w:shd w:val="clear" w:color="auto" w:fill="auto"/>
              <w:spacing w:before="0" w:after="0" w:line="260" w:lineRule="exact"/>
              <w:ind w:left="-85" w:right="-80"/>
              <w:jc w:val="both"/>
              <w:rPr>
                <w:b w:val="0"/>
                <w:spacing w:val="-14"/>
                <w:sz w:val="26"/>
                <w:szCs w:val="26"/>
              </w:rPr>
            </w:pPr>
            <w:r w:rsidRPr="00076600">
              <w:rPr>
                <w:b w:val="0"/>
                <w:spacing w:val="-14"/>
                <w:sz w:val="26"/>
                <w:szCs w:val="26"/>
              </w:rPr>
              <w:t>Обеспечение на каждом рабочем месте здоровых и безопасных условий труда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BA2953" w:rsidP="00A16970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BA2953">
              <w:rPr>
                <w:rFonts w:ascii="Times New Roman" w:hAnsi="Times New Roman"/>
                <w:spacing w:val="-14"/>
                <w:sz w:val="26"/>
                <w:szCs w:val="26"/>
              </w:rPr>
              <w:t>В должностные инструкции работникам института внесены вопросы обеспечения на каждом рабочем мест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е здоровых и безопасных условий </w:t>
            </w:r>
            <w:r w:rsidRPr="00BA2953">
              <w:rPr>
                <w:rFonts w:ascii="Times New Roman" w:hAnsi="Times New Roman"/>
                <w:spacing w:val="-14"/>
                <w:sz w:val="26"/>
                <w:szCs w:val="26"/>
              </w:rPr>
              <w:t>труда (дело 01-25)</w:t>
            </w:r>
          </w:p>
        </w:tc>
      </w:tr>
      <w:tr w:rsidR="00D71C51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Обучение, стажировка, инструктаж и проверка знаний, работников по вопросам охраны труда, промышленной, пожарной и радиационной безопасности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BA2953" w:rsidP="00A16970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BA295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В учебных целях в декабре 2017 в специализированный кабинет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«</w:t>
            </w:r>
            <w:r w:rsidRPr="00BA295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Охрана труда» приобретен лабораторный практикум «Безопасность жизнедеятельности». Отметки о проведении инструктажа фиксируются в соответствующих журналах структурных подразделений. </w:t>
            </w:r>
            <w:r w:rsidRPr="00BA2953">
              <w:rPr>
                <w:rFonts w:ascii="Times New Roman" w:hAnsi="Times New Roman"/>
                <w:spacing w:val="-14"/>
                <w:sz w:val="26"/>
                <w:szCs w:val="26"/>
              </w:rPr>
              <w:lastRenderedPageBreak/>
              <w:t>Руководители структурных подразделений проходят периодическую проверку знаний по охране труда 1 раз в 3 года (протокол №1 от 22.02.2016).</w:t>
            </w:r>
          </w:p>
        </w:tc>
      </w:tr>
      <w:tr w:rsidR="00D71C51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14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Недопущение к работе, отстранение от работы в соответствующий день (смену) работника:</w:t>
            </w:r>
          </w:p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      </w:r>
          </w:p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не прошедшего инструктаж, стажировку и проверку знаний по вопросам охраны труда;</w:t>
            </w:r>
          </w:p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не использующего средства индивидуальной защиты, непосредственно обеспечивающие безопасность труда;</w:t>
            </w:r>
          </w:p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1D29F1" w:rsidRDefault="00BA2953" w:rsidP="00A169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Фактов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="001D29F1">
              <w:rPr>
                <w:rFonts w:ascii="Times New Roman" w:hAnsi="Times New Roman"/>
                <w:spacing w:val="-14"/>
                <w:sz w:val="26"/>
                <w:szCs w:val="26"/>
              </w:rPr>
              <w:t>появления работника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на работе</w:t>
            </w:r>
            <w:r w:rsidR="001D29F1">
              <w:rPr>
                <w:rFonts w:ascii="Times New Roman" w:hAnsi="Times New Roman"/>
                <w:spacing w:val="-14"/>
                <w:sz w:val="26"/>
                <w:szCs w:val="26"/>
              </w:rPr>
              <w:t>: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</w:p>
          <w:p w:rsidR="00BA2953" w:rsidRPr="00076600" w:rsidRDefault="001D29F1" w:rsidP="00A169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 - </w:t>
            </w:r>
            <w:r w:rsidR="00BA2953"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      </w:r>
          </w:p>
          <w:p w:rsidR="00BA2953" w:rsidRPr="00076600" w:rsidRDefault="001D29F1" w:rsidP="00A169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- </w:t>
            </w:r>
            <w:r w:rsidR="00BA2953"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не прошедшего инструктаж, стажировку и проверку знаний по вопросам охраны труда;</w:t>
            </w:r>
          </w:p>
          <w:p w:rsidR="00BA2953" w:rsidRPr="00076600" w:rsidRDefault="001D29F1" w:rsidP="00A169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- </w:t>
            </w:r>
            <w:r w:rsidR="00BA2953"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не использующего средства индивидуальной защиты, непосредственно обеспечивающие безопасность труда;</w:t>
            </w:r>
          </w:p>
          <w:p w:rsidR="00D71C51" w:rsidRDefault="001D29F1" w:rsidP="00A16970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 - </w:t>
            </w:r>
            <w:r w:rsidR="00BA2953"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не прошедшего медицинский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осмотр, освидетельствование на </w:t>
            </w:r>
            <w:r w:rsidR="00BA2953"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предмет нахождения в состоянии алкогольного, наркотическо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го или </w:t>
            </w:r>
            <w:r w:rsidR="00BA2953"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токсического опьянения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не выявлено</w:t>
            </w:r>
          </w:p>
          <w:p w:rsidR="00A16970" w:rsidRPr="00076600" w:rsidRDefault="00A16970" w:rsidP="00A16970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</w:tr>
      <w:tr w:rsidR="00D71C51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Обеспечение режима труда и отдыха работников, установленного законодательством, коллективным договором, соглашением, трудовым договором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1D29F1" w:rsidP="00A16970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1D29F1">
              <w:rPr>
                <w:rFonts w:ascii="Times New Roman" w:hAnsi="Times New Roman"/>
                <w:spacing w:val="-14"/>
                <w:sz w:val="26"/>
                <w:szCs w:val="26"/>
              </w:rPr>
              <w:t>В должностные инструкции руководителю института и руководителям структурных подразделений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="00546427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1D29F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внесены вопросы обеспечения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режима труда и отдыха работников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,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установленного законодательством, коллективным договором, трудовым договором</w:t>
            </w:r>
            <w:r w:rsidRPr="001D29F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(дело 01-25)</w:t>
            </w:r>
          </w:p>
        </w:tc>
      </w:tr>
      <w:tr w:rsidR="00D71C51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D56B99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D71C51" w:rsidP="00E37F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proofErr w:type="gram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Контроль за</w:t>
            </w:r>
            <w:proofErr w:type="gramEnd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соблюдением законодательства об охране труда работниками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D71C51" w:rsidRPr="00076600" w:rsidRDefault="00546427" w:rsidP="00A16970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П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ротоколы Совета </w:t>
            </w:r>
            <w:proofErr w:type="spellStart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ИПКиПК</w:t>
            </w:r>
            <w:proofErr w:type="spellEnd"/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от 30.11.2017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№ 10;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от 26.04.2018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№ 4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71C51">
              <w:rPr>
                <w:rFonts w:ascii="Times New Roman" w:hAnsi="Times New Roman"/>
                <w:spacing w:val="-14"/>
                <w:sz w:val="26"/>
                <w:szCs w:val="26"/>
              </w:rPr>
              <w:t>(дело 0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3-03)</w:t>
            </w:r>
          </w:p>
        </w:tc>
      </w:tr>
      <w:tr w:rsidR="00083B2D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Расследование и учет несчастных случаев, профессиональных заболеваний, аварий, инцидентов на производственных объектах, разработка и реализация мер по их профилактике и предупреждению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Н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есчастных случаев, профессиональных заболеваний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работников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, аварий, инцидентов на производственных объектах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не было</w:t>
            </w:r>
          </w:p>
        </w:tc>
      </w:tr>
      <w:tr w:rsidR="00083B2D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Анализ причин производственного травматизма и разработка мер, направленных на его снижение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Случаев п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роизводственного травматизма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не было</w:t>
            </w:r>
          </w:p>
        </w:tc>
      </w:tr>
      <w:tr w:rsidR="00083B2D" w:rsidRPr="00076600" w:rsidTr="00D71C5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proofErr w:type="gram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Обязательное</w:t>
            </w:r>
            <w:proofErr w:type="gramEnd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страхования работающих от несчастных случаев на производстве и профессиональных заболеваний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85" w:right="-80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Осуществляется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1.2 пункта 1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40"/>
              <w:shd w:val="clear" w:color="auto" w:fill="auto"/>
              <w:spacing w:before="0" w:after="0" w:line="260" w:lineRule="exact"/>
              <w:ind w:left="-71" w:right="-94"/>
              <w:rPr>
                <w:b w:val="0"/>
                <w:spacing w:val="-14"/>
                <w:sz w:val="26"/>
                <w:szCs w:val="26"/>
              </w:rPr>
            </w:pPr>
            <w:r w:rsidRPr="00076600">
              <w:rPr>
                <w:b w:val="0"/>
                <w:spacing w:val="-14"/>
                <w:sz w:val="26"/>
                <w:szCs w:val="26"/>
              </w:rPr>
              <w:t>Проведение обязательных медицинских осмотров работников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71" w:right="-94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546427">
              <w:rPr>
                <w:rFonts w:ascii="Times New Roman" w:hAnsi="Times New Roman"/>
                <w:spacing w:val="-14"/>
                <w:sz w:val="26"/>
                <w:szCs w:val="26"/>
              </w:rPr>
              <w:t>Обязательные медицинские осмотры работников проводится ежегодно в Центре охраны здоровья университета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40"/>
              <w:shd w:val="clear" w:color="auto" w:fill="auto"/>
              <w:spacing w:before="0" w:after="0" w:line="260" w:lineRule="exact"/>
              <w:ind w:left="-71" w:right="-94"/>
              <w:jc w:val="both"/>
              <w:rPr>
                <w:b w:val="0"/>
                <w:spacing w:val="-14"/>
                <w:sz w:val="26"/>
                <w:szCs w:val="26"/>
              </w:rPr>
            </w:pPr>
            <w:r w:rsidRPr="00076600">
              <w:rPr>
                <w:b w:val="0"/>
                <w:spacing w:val="-14"/>
                <w:sz w:val="26"/>
                <w:szCs w:val="26"/>
              </w:rPr>
              <w:t>Привлечение к ответственности должностных лиц за необеспечение своевременного проведения обязательных медицинских осмотров работников или освидетельствования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71" w:right="-94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Фактов п</w:t>
            </w:r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>ривлечение к ответственности должностных лиц за необеспечение своевременного проведения обязательных медицинских осмотров работников или освидетельствования на предмет нахождения в состоянии алкогольного, наркотического или токсического опьянения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не было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1.3 пункта 1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proofErr w:type="spell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Предрейсовые</w:t>
            </w:r>
            <w:proofErr w:type="spellEnd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и иные медицинские обследования водителей</w:t>
            </w:r>
          </w:p>
        </w:tc>
        <w:tc>
          <w:tcPr>
            <w:tcW w:w="72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80"/>
              <w:jc w:val="both"/>
              <w:rPr>
                <w:rStyle w:val="2Exact"/>
                <w:rFonts w:eastAsia="Calibri"/>
                <w:spacing w:val="-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4"/>
                <w:sz w:val="26"/>
                <w:szCs w:val="26"/>
              </w:rPr>
              <w:t>Предрейсовые</w:t>
            </w:r>
            <w:proofErr w:type="spellEnd"/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медицински</w:t>
            </w:r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>е обследовани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я</w:t>
            </w:r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водителей транспортных средств, </w:t>
            </w:r>
            <w:proofErr w:type="spellStart"/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>предсменный</w:t>
            </w:r>
            <w:proofErr w:type="spellEnd"/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(перед началом работы, смены) медицинский </w:t>
            </w:r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lastRenderedPageBreak/>
              <w:t>осмотр проводится постоянно в Центре охраны здоровья университета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Технические осмотры транспортных средств</w:t>
            </w:r>
          </w:p>
        </w:tc>
        <w:tc>
          <w:tcPr>
            <w:tcW w:w="72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>Обеспечивается постоянно заместителем директора по административно-хозяйственной работе согласно требованиям законодательства. Закреплено должностной инструкцией заместителю директора по административно-хозяйственной работе (от 03.02.2016 № 01-60/29)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Отстранение от участия в дорожном движении неисправных транспортных средств</w:t>
            </w:r>
          </w:p>
        </w:tc>
        <w:tc>
          <w:tcPr>
            <w:tcW w:w="72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Фактов о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тстранени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я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от участия в дорожном движении неисправных транспортных средств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не было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1.4 пункта 1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widowControl w:val="0"/>
              <w:spacing w:after="0" w:line="260" w:lineRule="exact"/>
              <w:ind w:left="-52" w:right="-75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Привлечение работников организаций к дисциплинарной ответственности (вплоть до увольнения) </w:t>
            </w:r>
            <w:proofErr w:type="gram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за</w:t>
            </w:r>
            <w:proofErr w:type="gramEnd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:</w:t>
            </w:r>
          </w:p>
          <w:p w:rsidR="00083B2D" w:rsidRPr="00076600" w:rsidRDefault="00083B2D" w:rsidP="00083B2D">
            <w:pPr>
              <w:widowControl w:val="0"/>
              <w:spacing w:after="0" w:line="260" w:lineRule="exact"/>
              <w:ind w:left="-52" w:right="-75" w:firstLine="19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      </w:r>
          </w:p>
          <w:p w:rsidR="00083B2D" w:rsidRPr="00076600" w:rsidRDefault="00083B2D" w:rsidP="00083B2D">
            <w:pPr>
              <w:spacing w:after="0" w:line="260" w:lineRule="exact"/>
              <w:ind w:left="-52" w:right="-75" w:firstLine="19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нарушение требований по охране труда, повлекшее увечье или смерть других работников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52" w:right="-75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Фактов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п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ривлечени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я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работников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института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к дисциплинарной ответственности (вплоть до увольнения)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не было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</w:tcPr>
          <w:p w:rsidR="00083B2D" w:rsidRPr="00076600" w:rsidRDefault="00083B2D" w:rsidP="00083B2D">
            <w:pPr>
              <w:widowControl w:val="0"/>
              <w:spacing w:after="0" w:line="260" w:lineRule="exact"/>
              <w:ind w:left="-52" w:right="-75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Предупреждение нарушений трудовой дисциплины, проведение разъяснительной работы с работниками об ответственности за нарушение трудовой дисциплины</w:t>
            </w:r>
          </w:p>
        </w:tc>
        <w:tc>
          <w:tcPr>
            <w:tcW w:w="7229" w:type="dxa"/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52" w:right="-75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В целях п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редупреждени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я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нарушений трудовой дисциплины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широко практикуется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проведение разъяснительной работы с работниками об ответственности за нарушение трудовой дисциплины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, в том числе индивидуальной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1.5</w:t>
            </w: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пункта 1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40"/>
              <w:shd w:val="clear" w:color="auto" w:fill="auto"/>
              <w:spacing w:before="0" w:after="0" w:line="260" w:lineRule="exact"/>
              <w:ind w:left="-43" w:right="-94"/>
              <w:jc w:val="both"/>
              <w:rPr>
                <w:b w:val="0"/>
                <w:spacing w:val="-14"/>
                <w:sz w:val="26"/>
                <w:szCs w:val="26"/>
              </w:rPr>
            </w:pPr>
            <w:r w:rsidRPr="00076600">
              <w:rPr>
                <w:b w:val="0"/>
                <w:spacing w:val="-14"/>
                <w:sz w:val="26"/>
                <w:szCs w:val="26"/>
              </w:rPr>
              <w:t>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Информирование работников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осуществляется при оформлении на работу, индивидуальных формах работы по охране труда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1.6</w:t>
            </w: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пункта 1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29" w:right="-6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29" w:right="-6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Случаев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допуска работников к работе на оборудовании, имеющем неисправности, либо при отсутствии его испытаний, осмотров, технических освидетельствований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не было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1.8 пункта 1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20"/>
              <w:shd w:val="clear" w:color="auto" w:fill="auto"/>
              <w:tabs>
                <w:tab w:val="left" w:pos="322"/>
              </w:tabs>
              <w:spacing w:line="260" w:lineRule="exact"/>
              <w:ind w:left="-43" w:right="-66"/>
              <w:jc w:val="both"/>
              <w:rPr>
                <w:rStyle w:val="2Exact"/>
                <w:spacing w:val="-14"/>
                <w:sz w:val="26"/>
                <w:szCs w:val="26"/>
              </w:rPr>
            </w:pPr>
            <w:r w:rsidRPr="00076600">
              <w:rPr>
                <w:spacing w:val="-14"/>
                <w:sz w:val="26"/>
                <w:szCs w:val="26"/>
              </w:rPr>
              <w:t>Выполнения требований технических нормативных правовых актов при эксплуатации зданий и сооружений,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29" w:right="-6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Э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>ксплуатаци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я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зданий и сооружений, в том числе их техническо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состояни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>, своевременно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обслуживани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>, проведени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обследований, содержани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прилегающих территорий и ведени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соответствующей технической документации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соответствуют 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требован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иям</w:t>
            </w:r>
            <w:r w:rsidRPr="00992093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технических нормативных правовых актов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1.9 пункта 1 Директивы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Абзац седьмой подпункта 2.1 пункта 2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20"/>
              <w:shd w:val="clear" w:color="auto" w:fill="auto"/>
              <w:tabs>
                <w:tab w:val="left" w:pos="390"/>
              </w:tabs>
              <w:spacing w:line="260" w:lineRule="exact"/>
              <w:ind w:left="-15" w:right="-66"/>
              <w:jc w:val="both"/>
              <w:rPr>
                <w:spacing w:val="-14"/>
                <w:sz w:val="26"/>
                <w:szCs w:val="26"/>
              </w:rPr>
            </w:pPr>
            <w:r w:rsidRPr="00076600">
              <w:rPr>
                <w:spacing w:val="-14"/>
                <w:sz w:val="26"/>
                <w:szCs w:val="26"/>
              </w:rPr>
              <w:t>Организация проверки знаний Правил дорожного движения водителями и работниками, совмещающими данную профессию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15" w:right="-6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Водители транспортных сре</w:t>
            </w:r>
            <w:proofErr w:type="gramStart"/>
            <w:r>
              <w:rPr>
                <w:rFonts w:ascii="Times New Roman" w:hAnsi="Times New Roman"/>
                <w:spacing w:val="-14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оходят </w:t>
            </w:r>
            <w:r w:rsidRPr="004F621B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проверки знаний Правил дорожного движения в установленном порядке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20"/>
              <w:shd w:val="clear" w:color="auto" w:fill="auto"/>
              <w:tabs>
                <w:tab w:val="left" w:pos="380"/>
              </w:tabs>
              <w:spacing w:line="260" w:lineRule="exact"/>
              <w:ind w:left="-15" w:right="-66"/>
              <w:jc w:val="both"/>
              <w:rPr>
                <w:spacing w:val="-14"/>
                <w:sz w:val="26"/>
                <w:szCs w:val="26"/>
              </w:rPr>
            </w:pPr>
            <w:r w:rsidRPr="00076600">
              <w:rPr>
                <w:spacing w:val="-14"/>
                <w:sz w:val="26"/>
                <w:szCs w:val="26"/>
              </w:rPr>
              <w:t>Проведение единого дня безопасности дорожного движения в целях предупреждения дорожно-транспортных происшествий при эксплуатации транспортных средств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15" w:right="-6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4F621B">
              <w:rPr>
                <w:rFonts w:ascii="Times New Roman" w:hAnsi="Times New Roman"/>
                <w:spacing w:val="-14"/>
                <w:sz w:val="26"/>
                <w:szCs w:val="26"/>
              </w:rPr>
              <w:t>дин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ый</w:t>
            </w:r>
            <w:r w:rsidRPr="004F621B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ень</w:t>
            </w:r>
            <w:r w:rsidRPr="004F621B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безопасности дорожного движения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с участием водителей  института и других работников, являющихся автовладельцами, прошел 23 марта 2018 года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20"/>
              <w:shd w:val="clear" w:color="auto" w:fill="auto"/>
              <w:tabs>
                <w:tab w:val="left" w:pos="380"/>
              </w:tabs>
              <w:spacing w:line="260" w:lineRule="exact"/>
              <w:ind w:left="-15" w:right="-66"/>
              <w:jc w:val="both"/>
              <w:rPr>
                <w:spacing w:val="-14"/>
                <w:sz w:val="26"/>
                <w:szCs w:val="26"/>
              </w:rPr>
            </w:pPr>
            <w:r w:rsidRPr="00076600">
              <w:rPr>
                <w:spacing w:val="-14"/>
                <w:sz w:val="26"/>
                <w:szCs w:val="26"/>
              </w:rPr>
              <w:t xml:space="preserve">Проведение мониторинга </w:t>
            </w:r>
            <w:proofErr w:type="spellStart"/>
            <w:r w:rsidRPr="00076600">
              <w:rPr>
                <w:spacing w:val="-14"/>
                <w:sz w:val="26"/>
                <w:szCs w:val="26"/>
              </w:rPr>
              <w:t>предрейсового</w:t>
            </w:r>
            <w:proofErr w:type="spellEnd"/>
            <w:r w:rsidRPr="00076600">
              <w:rPr>
                <w:spacing w:val="-14"/>
                <w:sz w:val="26"/>
                <w:szCs w:val="26"/>
              </w:rPr>
              <w:t xml:space="preserve"> медицинского обследования водителей транспортных средств, </w:t>
            </w:r>
            <w:proofErr w:type="spellStart"/>
            <w:r w:rsidRPr="00076600">
              <w:rPr>
                <w:spacing w:val="-14"/>
                <w:sz w:val="26"/>
                <w:szCs w:val="26"/>
              </w:rPr>
              <w:t>предсменного</w:t>
            </w:r>
            <w:proofErr w:type="spellEnd"/>
            <w:r w:rsidRPr="00076600">
              <w:rPr>
                <w:spacing w:val="-14"/>
                <w:sz w:val="26"/>
                <w:szCs w:val="26"/>
              </w:rPr>
              <w:t xml:space="preserve"> (перед началом работы, смены) медицинского осмотра и (или) освидетельствования работающих на предмет нахождения в состоянии алкогольного, наркотического или токсического опьянения, а также рейдов по профилактике нарушений требований безопасности дорожного движения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15" w:right="-6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М</w:t>
            </w:r>
            <w:r w:rsidRPr="004C4086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ониторинг </w:t>
            </w:r>
            <w:proofErr w:type="spellStart"/>
            <w:r w:rsidRPr="004C4086">
              <w:rPr>
                <w:rFonts w:ascii="Times New Roman" w:hAnsi="Times New Roman"/>
                <w:spacing w:val="-14"/>
                <w:sz w:val="26"/>
                <w:szCs w:val="26"/>
              </w:rPr>
              <w:t>предрейсового</w:t>
            </w:r>
            <w:proofErr w:type="spellEnd"/>
            <w:r w:rsidRPr="004C4086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медицинского обследования водителей транспортных средств, </w:t>
            </w:r>
            <w:proofErr w:type="spellStart"/>
            <w:r w:rsidRPr="004C4086">
              <w:rPr>
                <w:rFonts w:ascii="Times New Roman" w:hAnsi="Times New Roman"/>
                <w:spacing w:val="-14"/>
                <w:sz w:val="26"/>
                <w:szCs w:val="26"/>
              </w:rPr>
              <w:t>предсменного</w:t>
            </w:r>
            <w:proofErr w:type="spellEnd"/>
            <w:r w:rsidRPr="004C4086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(перед началом работы, смены) медицинского осмотра и (или) освидетельствования работающих на предмет нахождения в состоянии алкогольного, наркотическ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ого или токсического опьянения проводится совместно с работниками </w:t>
            </w:r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Центр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а</w:t>
            </w:r>
            <w:r w:rsidRPr="00F7140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охраны здоровья университета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536893" w:rsidP="00083B2D">
            <w:pPr>
              <w:spacing w:after="0" w:line="260" w:lineRule="exact"/>
              <w:ind w:left="74" w:right="-237"/>
              <w:jc w:val="both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</w:t>
            </w:r>
            <w:r w:rsidRPr="00076600">
              <w:rPr>
                <w:rFonts w:ascii="Times New Roman" w:hAnsi="Times New Roman"/>
                <w:b/>
                <w:bCs/>
                <w:spacing w:val="-14"/>
                <w:sz w:val="26"/>
                <w:szCs w:val="26"/>
              </w:rPr>
              <w:t xml:space="preserve"> 2.2 пункта 2</w:t>
            </w: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536893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 </w:t>
            </w: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20"/>
              <w:shd w:val="clear" w:color="auto" w:fill="auto"/>
              <w:tabs>
                <w:tab w:val="left" w:pos="390"/>
              </w:tabs>
              <w:spacing w:line="260" w:lineRule="exact"/>
              <w:ind w:left="-15" w:right="-105"/>
              <w:jc w:val="both"/>
              <w:rPr>
                <w:spacing w:val="-14"/>
                <w:sz w:val="26"/>
                <w:szCs w:val="26"/>
              </w:rPr>
            </w:pPr>
            <w:r w:rsidRPr="00076600">
              <w:rPr>
                <w:spacing w:val="-14"/>
                <w:sz w:val="26"/>
                <w:szCs w:val="26"/>
              </w:rPr>
              <w:t>Предотвращение несанкционированного доступа граждан в неиспользуемые здания и сооружения, подвальные и чердачные помещения, технические подполья и на технические этажи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15" w:right="-105"/>
              <w:jc w:val="both"/>
              <w:rPr>
                <w:rStyle w:val="2Exact"/>
                <w:rFonts w:eastAsia="Calibri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Н</w:t>
            </w:r>
            <w:r w:rsidRPr="004C4086">
              <w:rPr>
                <w:rFonts w:ascii="Times New Roman" w:hAnsi="Times New Roman"/>
                <w:spacing w:val="-14"/>
                <w:sz w:val="26"/>
                <w:szCs w:val="26"/>
              </w:rPr>
              <w:t>есанкционированн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ый</w:t>
            </w:r>
            <w:r w:rsidRPr="004C4086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доступ граждан в неиспользуемые здания и сооружения, подвальные и чердачные помещения, технические подполья и на технические этажи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закрыт.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Подпункт 3.2 пункта 3 Директивы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Пункт 4 Директивы</w:t>
            </w:r>
          </w:p>
        </w:tc>
      </w:tr>
      <w:tr w:rsidR="00083B2D" w:rsidRPr="00076600" w:rsidTr="00F71401">
        <w:trPr>
          <w:trHeight w:val="1332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3"/>
              <w:shd w:val="clear" w:color="auto" w:fill="FFFFFF"/>
              <w:spacing w:before="0" w:beforeAutospacing="0" w:after="0" w:afterAutospacing="0" w:line="260" w:lineRule="exact"/>
              <w:ind w:left="-71" w:right="-80"/>
              <w:jc w:val="both"/>
              <w:rPr>
                <w:spacing w:val="-14"/>
                <w:sz w:val="26"/>
                <w:szCs w:val="26"/>
              </w:rPr>
            </w:pPr>
            <w:r w:rsidRPr="00076600">
              <w:rPr>
                <w:spacing w:val="-14"/>
                <w:sz w:val="26"/>
                <w:szCs w:val="26"/>
              </w:rPr>
              <w:t>Немедленная безопасная остановка оборудования, приспособления, транспортного средства в случае неисправности и (или) состояния, которое может стать причиной аварии такого оборудования, средств защиты, ухудшения состояния своего здоровья с извещением руководителя или иного уполномоченного должностного лица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536893">
            <w:pPr>
              <w:spacing w:after="0" w:line="260" w:lineRule="exact"/>
              <w:ind w:left="-71" w:right="-80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Случаев не установлено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bCs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bCs/>
                <w:spacing w:val="-14"/>
                <w:sz w:val="26"/>
                <w:szCs w:val="26"/>
              </w:rPr>
              <w:t>Пункт 12 Директивы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20"/>
              <w:shd w:val="clear" w:color="auto" w:fill="auto"/>
              <w:tabs>
                <w:tab w:val="left" w:pos="390"/>
              </w:tabs>
              <w:spacing w:line="260" w:lineRule="exact"/>
              <w:ind w:left="-15" w:right="-66"/>
              <w:jc w:val="both"/>
              <w:rPr>
                <w:spacing w:val="-14"/>
                <w:sz w:val="26"/>
                <w:szCs w:val="26"/>
              </w:rPr>
            </w:pPr>
            <w:r w:rsidRPr="00076600">
              <w:rPr>
                <w:spacing w:val="-14"/>
                <w:sz w:val="26"/>
                <w:szCs w:val="26"/>
              </w:rPr>
              <w:t xml:space="preserve">Взаимодействие с профсоюзами по вопросам повышения эффективности общественного </w:t>
            </w:r>
            <w:proofErr w:type="gramStart"/>
            <w:r w:rsidRPr="00076600">
              <w:rPr>
                <w:spacing w:val="-14"/>
                <w:sz w:val="26"/>
                <w:szCs w:val="26"/>
              </w:rPr>
              <w:t>контроля за</w:t>
            </w:r>
            <w:proofErr w:type="gramEnd"/>
            <w:r w:rsidRPr="00076600">
              <w:rPr>
                <w:spacing w:val="-14"/>
                <w:sz w:val="26"/>
                <w:szCs w:val="26"/>
              </w:rPr>
              <w:t xml:space="preserve"> соблюдением производственно-технологической дисциплины и обеспечением безопасности производственной деятельности.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15" w:right="-6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D00265">
              <w:rPr>
                <w:rFonts w:ascii="Times New Roman" w:hAnsi="Times New Roman"/>
                <w:spacing w:val="-14"/>
                <w:sz w:val="26"/>
                <w:szCs w:val="26"/>
              </w:rPr>
              <w:t>Информацию о взаимодействии с первичной профсоюзной организацией работников университета на оперативных совещаниях с руководителями структурных подразделений института докладывает председатель профбюро института (протоколы оперативных совещаний, дело 01-35)</w:t>
            </w: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237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bCs/>
                <w:spacing w:val="-14"/>
                <w:sz w:val="26"/>
                <w:szCs w:val="26"/>
              </w:rPr>
              <w:t>Пункт 14 Директивы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(</w:t>
            </w:r>
            <w:r w:rsidRPr="00076600">
              <w:rPr>
                <w:rFonts w:ascii="Times New Roman" w:hAnsi="Times New Roman"/>
                <w:b/>
                <w:bCs/>
                <w:spacing w:val="-14"/>
                <w:sz w:val="26"/>
                <w:szCs w:val="26"/>
              </w:rPr>
              <w:t>в соответствии с постановлением Совета Министров Республики Беларусь от 21.12.2015 № 1065 «О мерах по реализации Директивы Президента Республики Беларусь от 11 марта 2004 г. № 1»)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68" w:hanging="2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Реализация мероприятий по предупреждению чрезвычайных ситуаций, в том числе </w:t>
            </w:r>
            <w:proofErr w:type="gram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по</w:t>
            </w:r>
            <w:proofErr w:type="gramEnd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:</w:t>
            </w:r>
          </w:p>
          <w:p w:rsidR="00083B2D" w:rsidRPr="00076600" w:rsidRDefault="00083B2D" w:rsidP="00083B2D">
            <w:pPr>
              <w:spacing w:after="0" w:line="260" w:lineRule="exact"/>
              <w:ind w:left="-43" w:right="-68" w:firstLine="7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приведению схем электроснабжения в соответствие с требованиями технических нормативных правовых актов;</w:t>
            </w:r>
          </w:p>
          <w:p w:rsidR="00083B2D" w:rsidRPr="00076600" w:rsidRDefault="00083B2D" w:rsidP="00083B2D">
            <w:pPr>
              <w:spacing w:after="0" w:line="260" w:lineRule="exact"/>
              <w:ind w:left="-43" w:right="-68" w:firstLine="7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выявлению и уборке опасных деревьев и (или) насаждений, угрожающих падением на линии электропередачи, создающих угрозу жизнедеятельности населения (в том числе внутри дворовых территорий);</w:t>
            </w:r>
          </w:p>
          <w:p w:rsidR="00083B2D" w:rsidRPr="00076600" w:rsidRDefault="00083B2D" w:rsidP="00083B2D">
            <w:pPr>
              <w:spacing w:after="0" w:line="260" w:lineRule="exact"/>
              <w:ind w:left="-43" w:right="-68" w:firstLine="7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повышению надежности электроснабжения (включая автономные источники электроснабжения) объектов жизнеобеспечения населения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Default="00083B2D" w:rsidP="00083B2D">
            <w:pPr>
              <w:spacing w:after="0" w:line="260" w:lineRule="exact"/>
              <w:ind w:left="-127" w:right="-11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С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хем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ы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электроснабжения соответств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уют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требованиями технических нормативных правовых актов</w:t>
            </w:r>
          </w:p>
          <w:p w:rsidR="00083B2D" w:rsidRDefault="00083B2D" w:rsidP="00083B2D">
            <w:pPr>
              <w:spacing w:after="0" w:line="260" w:lineRule="exact"/>
              <w:ind w:left="-127" w:right="-11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Default="00083B2D" w:rsidP="00083B2D">
            <w:pPr>
              <w:spacing w:after="0" w:line="260" w:lineRule="exact"/>
              <w:ind w:left="-127" w:right="-11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Default="00083B2D" w:rsidP="00083B2D">
            <w:pPr>
              <w:spacing w:after="0" w:line="260" w:lineRule="exact"/>
              <w:ind w:left="-127" w:right="-11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Default="00083B2D" w:rsidP="00083B2D">
            <w:pPr>
              <w:spacing w:after="0" w:line="260" w:lineRule="exact"/>
              <w:ind w:left="-127" w:right="-11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Default="00083B2D" w:rsidP="00083B2D">
            <w:pPr>
              <w:spacing w:after="0" w:line="260" w:lineRule="exact"/>
              <w:ind w:left="-127" w:right="-11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Default="00083B2D" w:rsidP="00083B2D">
            <w:pPr>
              <w:spacing w:after="0" w:line="260" w:lineRule="exact"/>
              <w:ind w:left="-127" w:right="-116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Pr="00076600" w:rsidRDefault="00083B2D" w:rsidP="00083B2D">
            <w:pPr>
              <w:spacing w:after="0" w:line="260" w:lineRule="exact"/>
              <w:ind w:left="-127" w:right="-116"/>
              <w:jc w:val="both"/>
              <w:rPr>
                <w:rStyle w:val="2Exact"/>
                <w:rFonts w:eastAsia="Calibri"/>
                <w:spacing w:val="-14"/>
                <w:sz w:val="26"/>
                <w:szCs w:val="26"/>
              </w:rPr>
            </w:pP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6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Организация обследования общежитий </w:t>
            </w:r>
            <w:r w:rsidRPr="00B14366">
              <w:rPr>
                <w:rFonts w:ascii="Times New Roman" w:hAnsi="Times New Roman"/>
                <w:spacing w:val="-14"/>
                <w:sz w:val="26"/>
                <w:szCs w:val="26"/>
              </w:rPr>
              <w:t>и учреждений образования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 рассмотрением (при необходимости) вопросов состояния безопасности этих объектов на совещаниях (комиссиях), в том числе:</w:t>
            </w:r>
          </w:p>
          <w:p w:rsidR="00083B2D" w:rsidRPr="00076600" w:rsidRDefault="00083B2D" w:rsidP="00083B2D">
            <w:pPr>
              <w:spacing w:after="0" w:line="260" w:lineRule="exact"/>
              <w:ind w:left="-43" w:right="-68" w:firstLine="7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проверка знания и соблюдения требований законодательства о пожарной безопасности ответственными должностными лицами и проживающими в общежитиях гражданами;</w:t>
            </w:r>
          </w:p>
          <w:p w:rsidR="00083B2D" w:rsidRPr="00076600" w:rsidRDefault="00083B2D" w:rsidP="00083B2D">
            <w:pPr>
              <w:spacing w:after="0" w:line="260" w:lineRule="exact"/>
              <w:ind w:left="-43" w:right="-68" w:firstLine="7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проведение инструктажей о мерах пожарной безопасности </w:t>
            </w:r>
            <w:r w:rsidRPr="00D00265">
              <w:rPr>
                <w:rFonts w:ascii="Times New Roman" w:hAnsi="Times New Roman"/>
                <w:spacing w:val="-14"/>
                <w:sz w:val="26"/>
                <w:szCs w:val="26"/>
              </w:rPr>
              <w:t>с персоналом учреждений образования и проживающими в общежитиях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гражданами, практической отработке действий в случае возникновения пожаров и других чрезвычайных ситуаций;</w:t>
            </w:r>
          </w:p>
          <w:p w:rsidR="00083B2D" w:rsidRPr="00076600" w:rsidRDefault="00083B2D" w:rsidP="00083B2D">
            <w:pPr>
              <w:spacing w:after="0" w:line="260" w:lineRule="exact"/>
              <w:ind w:left="-43" w:right="-68" w:firstLine="70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принятию мер по приведению систем автоматической пожарной сигнализации и оповещения людей о пожаре, источников противопожарного водоснабжения, первичных средств пожаротушения в исправное состояние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Default="00083B2D" w:rsidP="00083B2D">
            <w:pPr>
              <w:spacing w:after="0" w:line="260" w:lineRule="exact"/>
              <w:ind w:left="-43" w:right="-15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нструктаж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о мерах пожарной безопасности </w:t>
            </w:r>
            <w:r w:rsidRPr="00D00265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с персоналом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института </w:t>
            </w:r>
            <w:r w:rsidRPr="00D00265">
              <w:rPr>
                <w:rFonts w:ascii="Times New Roman" w:hAnsi="Times New Roman"/>
                <w:spacing w:val="-14"/>
                <w:sz w:val="26"/>
                <w:szCs w:val="26"/>
              </w:rPr>
              <w:t>проводятся ежемесячно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00265">
              <w:rPr>
                <w:rFonts w:ascii="Times New Roman" w:hAnsi="Times New Roman"/>
                <w:spacing w:val="-14"/>
                <w:sz w:val="26"/>
                <w:szCs w:val="26"/>
              </w:rPr>
              <w:t>заместителем директора по административно-хозяйственной работе института на оперативных совещаниях с руководителями структурных подразделений (дело 01-35),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D00265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 работниками в подразделениях - руководителями структурных подразделений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.</w:t>
            </w:r>
          </w:p>
          <w:p w:rsidR="00083B2D" w:rsidRDefault="00083B2D" w:rsidP="00083B2D">
            <w:pPr>
              <w:spacing w:after="0" w:line="260" w:lineRule="exact"/>
              <w:ind w:left="-43" w:right="-15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С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истем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ы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автоматической пожарной сигнализации и оповещения людей о пожаре, источник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противопожарного водоснабжения, первичны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е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средств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а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пожаротушения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находятся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в исправно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м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состояни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и.</w:t>
            </w:r>
          </w:p>
          <w:p w:rsidR="00083B2D" w:rsidRDefault="00083B2D" w:rsidP="00083B2D">
            <w:pPr>
              <w:spacing w:after="0" w:line="260" w:lineRule="exact"/>
              <w:ind w:left="-43" w:right="-15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Default="00083B2D" w:rsidP="00083B2D">
            <w:pPr>
              <w:spacing w:after="0" w:line="260" w:lineRule="exact"/>
              <w:ind w:left="-43" w:right="-15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Default="00083B2D" w:rsidP="00083B2D">
            <w:pPr>
              <w:spacing w:after="0" w:line="260" w:lineRule="exact"/>
              <w:ind w:left="-43" w:right="-15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  <w:p w:rsidR="00083B2D" w:rsidRPr="00076600" w:rsidRDefault="00083B2D" w:rsidP="00083B2D">
            <w:pPr>
              <w:spacing w:after="0" w:line="260" w:lineRule="exact"/>
              <w:ind w:left="-43" w:right="-15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</w:tr>
      <w:tr w:rsidR="00083B2D" w:rsidRPr="00076600" w:rsidTr="00E37F47">
        <w:trPr>
          <w:trHeight w:val="20"/>
        </w:trPr>
        <w:tc>
          <w:tcPr>
            <w:tcW w:w="15564" w:type="dxa"/>
            <w:gridSpan w:val="3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74" w:right="-158"/>
              <w:jc w:val="center"/>
              <w:rPr>
                <w:rStyle w:val="2Exact"/>
                <w:rFonts w:eastAsia="Calibri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b/>
                <w:bCs/>
                <w:spacing w:val="-14"/>
                <w:sz w:val="26"/>
                <w:szCs w:val="26"/>
              </w:rPr>
              <w:t>Дополнительные мероприятия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85" w:right="-94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Обеспечение приведения объектов организаций в соответствие с требованиями технических нормативно правовых актов в области пожарной безопасности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85" w:right="-94"/>
              <w:jc w:val="both"/>
              <w:rPr>
                <w:rStyle w:val="2Exact"/>
                <w:rFonts w:eastAsia="Calibri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Объекты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института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находятся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в соответстви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и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 требованиями технических нормативно правовых актов в области пожарной безопасности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>.</w:t>
            </w:r>
          </w:p>
        </w:tc>
      </w:tr>
      <w:tr w:rsidR="00083B2D" w:rsidRPr="00076600" w:rsidTr="00F71401">
        <w:trPr>
          <w:trHeight w:val="20"/>
        </w:trPr>
        <w:tc>
          <w:tcPr>
            <w:tcW w:w="421" w:type="dxa"/>
            <w:vAlign w:val="center"/>
          </w:tcPr>
          <w:p w:rsidR="00083B2D" w:rsidRPr="00076600" w:rsidRDefault="00083B2D" w:rsidP="00083B2D">
            <w:pPr>
              <w:numPr>
                <w:ilvl w:val="0"/>
                <w:numId w:val="1"/>
              </w:numPr>
              <w:spacing w:after="0" w:line="260" w:lineRule="exact"/>
              <w:ind w:right="-96"/>
              <w:contextualSpacing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shd w:val="clear" w:color="auto" w:fill="auto"/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85" w:right="-94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Актуализация сведений, размещенных на интернет – </w:t>
            </w:r>
            <w:proofErr w:type="gramStart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сайтах</w:t>
            </w:r>
            <w:proofErr w:type="gramEnd"/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(порталах) </w:t>
            </w:r>
          </w:p>
        </w:tc>
        <w:tc>
          <w:tcPr>
            <w:tcW w:w="7229" w:type="dxa"/>
            <w:vAlign w:val="center"/>
          </w:tcPr>
          <w:p w:rsidR="00083B2D" w:rsidRPr="00076600" w:rsidRDefault="00083B2D" w:rsidP="00083B2D">
            <w:pPr>
              <w:spacing w:after="0" w:line="260" w:lineRule="exact"/>
              <w:ind w:left="-43" w:right="-158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Обновление информации на сайте института происходит систематически.</w:t>
            </w:r>
          </w:p>
        </w:tc>
      </w:tr>
      <w:tr w:rsidR="00083B2D" w:rsidRPr="00076600" w:rsidTr="00F71401">
        <w:trPr>
          <w:trHeight w:val="891"/>
        </w:trPr>
        <w:tc>
          <w:tcPr>
            <w:tcW w:w="421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083B2D" w:rsidP="00083B2D">
            <w:pPr>
              <w:pStyle w:val="a6"/>
              <w:numPr>
                <w:ilvl w:val="0"/>
                <w:numId w:val="1"/>
              </w:numPr>
              <w:spacing w:after="0" w:line="260" w:lineRule="exact"/>
              <w:ind w:right="-96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7914" w:type="dxa"/>
            <w:tcMar>
              <w:left w:w="113" w:type="dxa"/>
              <w:right w:w="113" w:type="dxa"/>
            </w:tcMar>
          </w:tcPr>
          <w:p w:rsidR="00083B2D" w:rsidRPr="00076600" w:rsidRDefault="00083B2D" w:rsidP="00083B2D">
            <w:pPr>
              <w:spacing w:after="0" w:line="260" w:lineRule="exact"/>
              <w:ind w:left="-85" w:right="-94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076600">
              <w:rPr>
                <w:rStyle w:val="2Exact"/>
                <w:rFonts w:eastAsia="Calibri"/>
                <w:spacing w:val="-14"/>
                <w:sz w:val="26"/>
                <w:szCs w:val="26"/>
              </w:rPr>
              <w:t xml:space="preserve">Внесение изменения в 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>должностные обязанности соответствующих работников в части дополнения их задачами и функциями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29" w:type="dxa"/>
            <w:tcMar>
              <w:left w:w="113" w:type="dxa"/>
              <w:right w:w="113" w:type="dxa"/>
            </w:tcMar>
            <w:vAlign w:val="center"/>
          </w:tcPr>
          <w:p w:rsidR="00083B2D" w:rsidRPr="00076600" w:rsidRDefault="00536893" w:rsidP="00536893">
            <w:pPr>
              <w:spacing w:after="0" w:line="260" w:lineRule="exact"/>
              <w:ind w:left="-85" w:right="-94"/>
              <w:jc w:val="both"/>
              <w:rPr>
                <w:rStyle w:val="2Exact"/>
                <w:rFonts w:eastAsia="Calibri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Дополнения в должностные инструкции</w:t>
            </w:r>
            <w:r w:rsidRPr="00076600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соответствующих работников в части дополнения их задачами и функциями в области защиты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вносятся</w:t>
            </w:r>
            <w:r w:rsidR="006D6E44">
              <w:rPr>
                <w:rFonts w:ascii="Times New Roman" w:hAnsi="Times New Roman"/>
                <w:spacing w:val="-14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D56B99" w:rsidRPr="00076600" w:rsidRDefault="00D56B99" w:rsidP="00D56B99">
      <w:pPr>
        <w:spacing w:before="40" w:after="40" w:line="60" w:lineRule="exact"/>
        <w:ind w:left="-68" w:right="-96"/>
        <w:rPr>
          <w:rFonts w:ascii="Times New Roman" w:hAnsi="Times New Roman"/>
          <w:sz w:val="28"/>
          <w:szCs w:val="28"/>
        </w:rPr>
      </w:pPr>
    </w:p>
    <w:sectPr w:rsidR="00D56B99" w:rsidRPr="00076600" w:rsidSect="00402789">
      <w:headerReference w:type="default" r:id="rId10"/>
      <w:pgSz w:w="16838" w:h="11906" w:orient="landscape"/>
      <w:pgMar w:top="568" w:right="567" w:bottom="567" w:left="567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E6" w:rsidRDefault="00453BE6">
      <w:pPr>
        <w:spacing w:after="0" w:line="240" w:lineRule="auto"/>
      </w:pPr>
      <w:r>
        <w:separator/>
      </w:r>
    </w:p>
  </w:endnote>
  <w:endnote w:type="continuationSeparator" w:id="0">
    <w:p w:rsidR="00453BE6" w:rsidRDefault="0045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E6" w:rsidRDefault="00453BE6">
      <w:pPr>
        <w:spacing w:after="0" w:line="240" w:lineRule="auto"/>
      </w:pPr>
      <w:r>
        <w:separator/>
      </w:r>
    </w:p>
  </w:footnote>
  <w:footnote w:type="continuationSeparator" w:id="0">
    <w:p w:rsidR="00453BE6" w:rsidRDefault="0045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22" w:rsidRDefault="00C21775">
    <w:pPr>
      <w:pStyle w:val="a4"/>
      <w:jc w:val="center"/>
      <w:rPr>
        <w:rFonts w:ascii="Times New Roman" w:hAnsi="Times New Roman"/>
        <w:sz w:val="28"/>
        <w:szCs w:val="28"/>
      </w:rPr>
    </w:pPr>
    <w:r w:rsidRPr="00476F29">
      <w:rPr>
        <w:rFonts w:ascii="Times New Roman" w:hAnsi="Times New Roman"/>
        <w:sz w:val="28"/>
        <w:szCs w:val="28"/>
      </w:rPr>
      <w:fldChar w:fldCharType="begin"/>
    </w:r>
    <w:r w:rsidRPr="00476F29">
      <w:rPr>
        <w:rFonts w:ascii="Times New Roman" w:hAnsi="Times New Roman"/>
        <w:sz w:val="28"/>
        <w:szCs w:val="28"/>
      </w:rPr>
      <w:instrText>PAGE   \* MERGEFORMAT</w:instrText>
    </w:r>
    <w:r w:rsidRPr="00476F29">
      <w:rPr>
        <w:rFonts w:ascii="Times New Roman" w:hAnsi="Times New Roman"/>
        <w:sz w:val="28"/>
        <w:szCs w:val="28"/>
      </w:rPr>
      <w:fldChar w:fldCharType="separate"/>
    </w:r>
    <w:r w:rsidR="006D6E44">
      <w:rPr>
        <w:rFonts w:ascii="Times New Roman" w:hAnsi="Times New Roman"/>
        <w:noProof/>
        <w:sz w:val="28"/>
        <w:szCs w:val="28"/>
      </w:rPr>
      <w:t>5</w:t>
    </w:r>
    <w:r w:rsidRPr="00476F29">
      <w:rPr>
        <w:rFonts w:ascii="Times New Roman" w:hAnsi="Times New Roman"/>
        <w:sz w:val="28"/>
        <w:szCs w:val="28"/>
      </w:rPr>
      <w:fldChar w:fldCharType="end"/>
    </w:r>
  </w:p>
  <w:tbl>
    <w:tblPr>
      <w:tblW w:w="15566" w:type="dxa"/>
      <w:tblInd w:w="178" w:type="dxa"/>
      <w:tblBorders>
        <w:top w:val="single" w:sz="4" w:space="0" w:color="auto"/>
        <w:left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0"/>
      <w:gridCol w:w="11843"/>
      <w:gridCol w:w="3303"/>
    </w:tblGrid>
    <w:tr w:rsidR="00DE767C" w:rsidRPr="00EC0F8A" w:rsidTr="00DE767C">
      <w:tc>
        <w:tcPr>
          <w:tcW w:w="420" w:type="dxa"/>
          <w:tcBorders>
            <w:right w:val="single" w:sz="4" w:space="0" w:color="auto"/>
          </w:tcBorders>
        </w:tcPr>
        <w:p w:rsidR="00DE767C" w:rsidRPr="00EC0F8A" w:rsidRDefault="00C21775" w:rsidP="00EC0F8A">
          <w:pPr>
            <w:spacing w:before="4" w:after="4" w:line="240" w:lineRule="exact"/>
            <w:ind w:left="-70" w:right="-96"/>
            <w:jc w:val="center"/>
            <w:rPr>
              <w:rFonts w:ascii="Times New Roman" w:hAnsi="Times New Roman"/>
              <w:spacing w:val="-10"/>
              <w:sz w:val="26"/>
              <w:szCs w:val="26"/>
            </w:rPr>
          </w:pPr>
          <w:r w:rsidRPr="00EC0F8A">
            <w:rPr>
              <w:rFonts w:ascii="Times New Roman" w:hAnsi="Times New Roman"/>
              <w:spacing w:val="-10"/>
              <w:sz w:val="26"/>
              <w:szCs w:val="26"/>
            </w:rPr>
            <w:t>1</w:t>
          </w:r>
        </w:p>
      </w:tc>
      <w:tc>
        <w:tcPr>
          <w:tcW w:w="118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E767C" w:rsidRPr="0021794A" w:rsidRDefault="00C21775" w:rsidP="00EC0F8A">
          <w:pPr>
            <w:pStyle w:val="20"/>
            <w:shd w:val="clear" w:color="auto" w:fill="auto"/>
            <w:spacing w:before="4" w:after="4" w:line="240" w:lineRule="exact"/>
            <w:ind w:left="-70" w:right="-96"/>
            <w:jc w:val="center"/>
            <w:rPr>
              <w:spacing w:val="-10"/>
              <w:sz w:val="26"/>
              <w:szCs w:val="26"/>
            </w:rPr>
          </w:pPr>
          <w:r w:rsidRPr="0021794A">
            <w:rPr>
              <w:spacing w:val="-10"/>
              <w:sz w:val="26"/>
              <w:szCs w:val="26"/>
            </w:rPr>
            <w:t>2</w:t>
          </w:r>
        </w:p>
      </w:tc>
      <w:tc>
        <w:tcPr>
          <w:tcW w:w="3303" w:type="dxa"/>
          <w:tcBorders>
            <w:top w:val="single" w:sz="4" w:space="0" w:color="auto"/>
            <w:left w:val="single" w:sz="4" w:space="0" w:color="auto"/>
          </w:tcBorders>
        </w:tcPr>
        <w:p w:rsidR="00DE767C" w:rsidRPr="00EC0F8A" w:rsidRDefault="00C21775" w:rsidP="00DE767C">
          <w:pPr>
            <w:spacing w:before="4" w:after="4" w:line="240" w:lineRule="exact"/>
            <w:ind w:left="-70" w:right="-96"/>
            <w:jc w:val="center"/>
            <w:rPr>
              <w:rFonts w:ascii="Times New Roman" w:hAnsi="Times New Roman"/>
              <w:spacing w:val="-10"/>
              <w:sz w:val="26"/>
              <w:szCs w:val="26"/>
            </w:rPr>
          </w:pPr>
          <w:r w:rsidRPr="00EC0F8A">
            <w:rPr>
              <w:rFonts w:ascii="Times New Roman" w:hAnsi="Times New Roman"/>
              <w:spacing w:val="-10"/>
              <w:sz w:val="26"/>
              <w:szCs w:val="26"/>
            </w:rPr>
            <w:t>3</w:t>
          </w:r>
        </w:p>
      </w:tc>
    </w:tr>
  </w:tbl>
  <w:p w:rsidR="00737F22" w:rsidRPr="00476F29" w:rsidRDefault="00453BE6" w:rsidP="005B58B3">
    <w:pPr>
      <w:pStyle w:val="a4"/>
      <w:spacing w:line="20" w:lineRule="exact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750"/>
    <w:multiLevelType w:val="hybridMultilevel"/>
    <w:tmpl w:val="1B40AC8E"/>
    <w:lvl w:ilvl="0" w:tplc="AEE28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99"/>
    <w:rsid w:val="00083B2D"/>
    <w:rsid w:val="001D29F1"/>
    <w:rsid w:val="003D1933"/>
    <w:rsid w:val="003F7881"/>
    <w:rsid w:val="00453BE6"/>
    <w:rsid w:val="004C4086"/>
    <w:rsid w:val="004F621B"/>
    <w:rsid w:val="00507D99"/>
    <w:rsid w:val="00523F56"/>
    <w:rsid w:val="00536893"/>
    <w:rsid w:val="00544586"/>
    <w:rsid w:val="00546427"/>
    <w:rsid w:val="0059149E"/>
    <w:rsid w:val="00675AC9"/>
    <w:rsid w:val="006D6E44"/>
    <w:rsid w:val="00992093"/>
    <w:rsid w:val="00A16970"/>
    <w:rsid w:val="00B111AB"/>
    <w:rsid w:val="00BA2953"/>
    <w:rsid w:val="00C21775"/>
    <w:rsid w:val="00CF31D0"/>
    <w:rsid w:val="00D00265"/>
    <w:rsid w:val="00D56B99"/>
    <w:rsid w:val="00D71C51"/>
    <w:rsid w:val="00E2408E"/>
    <w:rsid w:val="00ED4D46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56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rsid w:val="00D5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D56B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Normal (Web)"/>
    <w:basedOn w:val="a"/>
    <w:uiPriority w:val="99"/>
    <w:unhideWhenUsed/>
    <w:rsid w:val="00D5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56B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6B99"/>
    <w:pPr>
      <w:widowControl w:val="0"/>
      <w:shd w:val="clear" w:color="auto" w:fill="FFFFFF"/>
      <w:spacing w:before="540" w:after="120" w:line="197" w:lineRule="exact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99"/>
    <w:rPr>
      <w:rFonts w:ascii="Calibri" w:eastAsia="Calibri" w:hAnsi="Calibri" w:cs="Times New Roman"/>
    </w:rPr>
  </w:style>
  <w:style w:type="character" w:customStyle="1" w:styleId="FontStyle87">
    <w:name w:val="Font Style87"/>
    <w:uiPriority w:val="99"/>
    <w:rsid w:val="00D56B99"/>
    <w:rPr>
      <w:rFonts w:ascii="Times New Roman" w:hAnsi="Times New Roman" w:cs="Times New Roman"/>
      <w:sz w:val="14"/>
      <w:szCs w:val="14"/>
    </w:rPr>
  </w:style>
  <w:style w:type="paragraph" w:styleId="a6">
    <w:name w:val="List Paragraph"/>
    <w:basedOn w:val="a"/>
    <w:uiPriority w:val="34"/>
    <w:qFormat/>
    <w:rsid w:val="00D5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56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rsid w:val="00D5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D56B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Normal (Web)"/>
    <w:basedOn w:val="a"/>
    <w:uiPriority w:val="99"/>
    <w:unhideWhenUsed/>
    <w:rsid w:val="00D5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56B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6B99"/>
    <w:pPr>
      <w:widowControl w:val="0"/>
      <w:shd w:val="clear" w:color="auto" w:fill="FFFFFF"/>
      <w:spacing w:before="540" w:after="120" w:line="197" w:lineRule="exact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99"/>
    <w:rPr>
      <w:rFonts w:ascii="Calibri" w:eastAsia="Calibri" w:hAnsi="Calibri" w:cs="Times New Roman"/>
    </w:rPr>
  </w:style>
  <w:style w:type="character" w:customStyle="1" w:styleId="FontStyle87">
    <w:name w:val="Font Style87"/>
    <w:uiPriority w:val="99"/>
    <w:rsid w:val="00D56B99"/>
    <w:rPr>
      <w:rFonts w:ascii="Times New Roman" w:hAnsi="Times New Roman" w:cs="Times New Roman"/>
      <w:sz w:val="14"/>
      <w:szCs w:val="14"/>
    </w:rPr>
  </w:style>
  <w:style w:type="paragraph" w:styleId="a6">
    <w:name w:val="List Paragraph"/>
    <w:basedOn w:val="a"/>
    <w:uiPriority w:val="34"/>
    <w:qFormat/>
    <w:rsid w:val="00D5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36324EC9A0A583857681879558B6F12C78D5EAF61CF39E29FEF53F36A17960BAB5013BAC572048715A7D774c9V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36324EC9A0A583857681879558B6F12C78D5EAF61CF39E29FEF53F36A17960BAB5013BAC572048715A7D774c9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10</cp:revision>
  <dcterms:created xsi:type="dcterms:W3CDTF">2018-06-21T07:41:00Z</dcterms:created>
  <dcterms:modified xsi:type="dcterms:W3CDTF">2018-06-27T06:57:00Z</dcterms:modified>
</cp:coreProperties>
</file>